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FC" w:rsidRDefault="00492DFC" w:rsidP="00492DFC">
      <w:pPr>
        <w:jc w:val="both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>
        <w:rPr>
          <w:rFonts w:ascii="Calibri" w:hAnsi="Calibri" w:cs="Calibri"/>
          <w:b/>
          <w:color w:val="000000"/>
          <w:sz w:val="22"/>
          <w:szCs w:val="22"/>
          <w:lang w:val="sl-SI"/>
        </w:rPr>
        <w:t xml:space="preserve">Priloga 1: </w:t>
      </w:r>
      <w:r>
        <w:rPr>
          <w:rFonts w:ascii="Calibri" w:hAnsi="Calibri" w:cs="Calibri"/>
          <w:color w:val="000000"/>
          <w:sz w:val="22"/>
          <w:szCs w:val="22"/>
          <w:lang w:val="sl-SI"/>
        </w:rPr>
        <w:t>Predlog dopolnitve in sprememb</w:t>
      </w:r>
      <w:r>
        <w:rPr>
          <w:rFonts w:ascii="Calibri" w:hAnsi="Calibri" w:cs="Calibri"/>
          <w:b/>
          <w:color w:val="000000"/>
          <w:sz w:val="22"/>
          <w:szCs w:val="22"/>
          <w:lang w:val="sl-SI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sl-SI"/>
        </w:rPr>
        <w:t>Tarife nadomestil za storitve, ki jih Agencija Republike Slovenije za javnopravne evidence in storitve opravlja po 58. členu Zakona o gospodarskih družbah</w:t>
      </w:r>
    </w:p>
    <w:p w:rsidR="00492DFC" w:rsidRDefault="00492DFC" w:rsidP="00492DFC">
      <w:pPr>
        <w:pStyle w:val="Odstavekseznama"/>
        <w:autoSpaceDE w:val="0"/>
        <w:autoSpaceDN w:val="0"/>
        <w:adjustRightInd w:val="0"/>
        <w:spacing w:line="260" w:lineRule="atLeast"/>
        <w:textAlignment w:val="center"/>
        <w:rPr>
          <w:rFonts w:ascii="Calibri" w:hAnsi="Calibri" w:cs="Calibri"/>
          <w:b/>
          <w:color w:val="000000"/>
          <w:sz w:val="22"/>
          <w:szCs w:val="22"/>
          <w:lang w:val="sl-SI"/>
        </w:rPr>
      </w:pPr>
    </w:p>
    <w:p w:rsidR="00492DFC" w:rsidRDefault="00492DFC" w:rsidP="00492DFC">
      <w:pPr>
        <w:pStyle w:val="Odstavekseznama"/>
        <w:autoSpaceDE w:val="0"/>
        <w:autoSpaceDN w:val="0"/>
        <w:adjustRightInd w:val="0"/>
        <w:spacing w:line="260" w:lineRule="atLeast"/>
        <w:textAlignment w:val="center"/>
        <w:rPr>
          <w:rFonts w:ascii="Calibri" w:hAnsi="Calibri" w:cs="Calibri"/>
          <w:b/>
          <w:color w:val="000000"/>
          <w:sz w:val="22"/>
          <w:szCs w:val="22"/>
          <w:lang w:val="sl-SI"/>
        </w:rPr>
      </w:pPr>
    </w:p>
    <w:p w:rsidR="00492DFC" w:rsidRDefault="00492DFC" w:rsidP="00492DFC">
      <w:pPr>
        <w:widowControl w:val="0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 xml:space="preserve">Na podlagi enajstega odstavka 58. člena Zakona o gospodarskih družbah (Uradni list RS, št. 65/09 – uradno prečiščeno besedilo, 33/11, 91/11, 32/12, 57/12, 44/13 – </w:t>
      </w:r>
      <w:proofErr w:type="spellStart"/>
      <w:r>
        <w:rPr>
          <w:rFonts w:eastAsia="Times New Roman" w:cstheme="minorHAnsi"/>
          <w:sz w:val="22"/>
          <w:szCs w:val="22"/>
          <w:lang w:val="sl-SI"/>
        </w:rPr>
        <w:t>odl</w:t>
      </w:r>
      <w:proofErr w:type="spellEnd"/>
      <w:r>
        <w:rPr>
          <w:rFonts w:eastAsia="Times New Roman" w:cstheme="minorHAnsi"/>
          <w:sz w:val="22"/>
          <w:szCs w:val="22"/>
          <w:lang w:val="sl-SI"/>
        </w:rPr>
        <w:t xml:space="preserve">. US, 82/13, 55/15, 15/17, 22/19 – </w:t>
      </w:r>
      <w:proofErr w:type="spellStart"/>
      <w:r>
        <w:rPr>
          <w:rFonts w:eastAsia="Times New Roman" w:cstheme="minorHAnsi"/>
          <w:sz w:val="22"/>
          <w:szCs w:val="22"/>
          <w:lang w:val="sl-SI"/>
        </w:rPr>
        <w:t>ZPosS</w:t>
      </w:r>
      <w:proofErr w:type="spellEnd"/>
      <w:r>
        <w:rPr>
          <w:rFonts w:eastAsia="Times New Roman" w:cstheme="minorHAnsi"/>
          <w:sz w:val="22"/>
          <w:szCs w:val="22"/>
          <w:lang w:val="sl-SI"/>
        </w:rPr>
        <w:t xml:space="preserve">, 158/20 – </w:t>
      </w:r>
      <w:proofErr w:type="spellStart"/>
      <w:r>
        <w:rPr>
          <w:rFonts w:eastAsia="Times New Roman" w:cstheme="minorHAnsi"/>
          <w:sz w:val="22"/>
          <w:szCs w:val="22"/>
          <w:lang w:val="sl-SI"/>
        </w:rPr>
        <w:t>ZIntPK</w:t>
      </w:r>
      <w:proofErr w:type="spellEnd"/>
      <w:r>
        <w:rPr>
          <w:rFonts w:eastAsia="Times New Roman" w:cstheme="minorHAnsi"/>
          <w:sz w:val="22"/>
          <w:szCs w:val="22"/>
          <w:lang w:val="sl-SI"/>
        </w:rPr>
        <w:t xml:space="preserve">-C, 18/21 in 18/23 – ZDU-1O) in v soglasju z ministrom za gospodarstvo, turizem in šport (št. </w:t>
      </w:r>
      <w:proofErr w:type="spellStart"/>
      <w:r>
        <w:rPr>
          <w:rFonts w:eastAsia="Times New Roman" w:cstheme="minorHAnsi"/>
          <w:sz w:val="22"/>
          <w:szCs w:val="22"/>
          <w:lang w:val="sl-SI"/>
        </w:rPr>
        <w:t>xxxxxxxxxx</w:t>
      </w:r>
      <w:proofErr w:type="spellEnd"/>
      <w:r>
        <w:rPr>
          <w:rFonts w:eastAsia="Times New Roman" w:cstheme="minorHAnsi"/>
          <w:sz w:val="22"/>
          <w:szCs w:val="22"/>
          <w:lang w:val="sl-SI"/>
        </w:rPr>
        <w:t xml:space="preserve">) ter ministrom za pravosodje (št. </w:t>
      </w:r>
      <w:proofErr w:type="spellStart"/>
      <w:r>
        <w:rPr>
          <w:rFonts w:eastAsia="Times New Roman" w:cstheme="minorHAnsi"/>
          <w:sz w:val="22"/>
          <w:szCs w:val="22"/>
          <w:lang w:val="sl-SI"/>
        </w:rPr>
        <w:t>xxxxxxx</w:t>
      </w:r>
      <w:proofErr w:type="spellEnd"/>
      <w:r>
        <w:rPr>
          <w:rFonts w:eastAsia="Times New Roman" w:cstheme="minorHAnsi"/>
          <w:sz w:val="22"/>
          <w:szCs w:val="22"/>
          <w:lang w:val="sl-SI"/>
        </w:rPr>
        <w:t>) je Svet Agencije Republike Slovenije za javnopravne evidence in storitve sprejel</w:t>
      </w:r>
    </w:p>
    <w:p w:rsidR="00492DFC" w:rsidRDefault="00492DFC" w:rsidP="00492DFC">
      <w:pPr>
        <w:widowControl w:val="0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widowControl w:val="0"/>
        <w:overflowPunct w:val="0"/>
        <w:autoSpaceDE w:val="0"/>
        <w:autoSpaceDN w:val="0"/>
        <w:adjustRightInd w:val="0"/>
        <w:ind w:left="142"/>
        <w:jc w:val="both"/>
        <w:textAlignment w:val="baseline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bCs/>
          <w:color w:val="000000"/>
          <w:spacing w:val="40"/>
          <w:sz w:val="22"/>
          <w:szCs w:val="22"/>
          <w:lang w:val="sl-SI" w:eastAsia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bCs/>
          <w:color w:val="000000"/>
          <w:spacing w:val="40"/>
          <w:sz w:val="22"/>
          <w:szCs w:val="22"/>
          <w:lang w:val="sl-SI" w:eastAsia="sl-SI"/>
        </w:rPr>
      </w:pPr>
      <w:r>
        <w:rPr>
          <w:rFonts w:eastAsia="Times New Roman" w:cstheme="minorHAnsi"/>
          <w:b/>
          <w:bCs/>
          <w:color w:val="000000"/>
          <w:spacing w:val="40"/>
          <w:sz w:val="22"/>
          <w:szCs w:val="22"/>
          <w:lang w:val="sl-SI" w:eastAsia="sl-SI"/>
        </w:rPr>
        <w:t>D O P O L N I T E V   IN   S P R E M E M B I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bCs/>
          <w:color w:val="000000"/>
          <w:spacing w:val="40"/>
          <w:sz w:val="22"/>
          <w:szCs w:val="22"/>
          <w:lang w:val="sl-SI" w:eastAsia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bCs/>
          <w:color w:val="000000"/>
          <w:spacing w:val="40"/>
          <w:sz w:val="22"/>
          <w:szCs w:val="22"/>
          <w:lang w:val="sl-SI" w:eastAsia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2"/>
          <w:szCs w:val="22"/>
          <w:lang w:val="sl-SI" w:eastAsia="sl-SI"/>
        </w:rPr>
      </w:pPr>
      <w:r>
        <w:rPr>
          <w:rFonts w:eastAsia="Times New Roman" w:cstheme="minorHAnsi"/>
          <w:b/>
          <w:sz w:val="22"/>
          <w:szCs w:val="22"/>
          <w:lang w:val="sl-SI" w:eastAsia="sl-SI"/>
        </w:rPr>
        <w:t>Tarife nadomestil za storitve, ki jih Agencija Republike Slovenije za javnopravne evidence in storitve opravlja po 58. členu Zakona o gospodarskih družbah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2"/>
          <w:szCs w:val="22"/>
          <w:lang w:val="sl-SI" w:eastAsia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theme="minorHAnsi"/>
          <w:b/>
          <w:sz w:val="22"/>
          <w:szCs w:val="22"/>
          <w:lang w:val="sl-SI" w:eastAsia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  <w:r>
        <w:rPr>
          <w:rFonts w:eastAsia="Times New Roman" w:cstheme="minorHAnsi"/>
          <w:b/>
          <w:sz w:val="22"/>
          <w:szCs w:val="22"/>
          <w:lang w:val="sl-SI"/>
        </w:rPr>
        <w:t>1. člen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V Tarifi nadomestil za storitve, ki jih Agencija Republike Slovenije za javnopravne evidence in storitve opravlja po 58. členu Zakona o gospodarskih družbah (Uradni list RS, št. 17/09; v nadaljnjem besedilu: »Tarifa«) se 1. točka 1. člena dopolni tako, da se za besedo »družbe« vstavi vejica, za vejico pa se doda beseda »zadruge«.</w:t>
      </w: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  <w:r>
        <w:rPr>
          <w:rFonts w:eastAsia="Times New Roman" w:cstheme="minorHAnsi"/>
          <w:b/>
          <w:sz w:val="22"/>
          <w:szCs w:val="22"/>
          <w:lang w:val="sl-SI"/>
        </w:rPr>
        <w:t>2. člen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2. člen Tarife se spremeni tako, da se glasi:</w:t>
      </w: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pStyle w:val="Odstavek"/>
        <w:spacing w:after="400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»</w:t>
      </w:r>
      <w:r>
        <w:rPr>
          <w:rFonts w:asciiTheme="minorHAnsi" w:eastAsia="Calibri" w:hAnsiTheme="minorHAnsi" w:cstheme="minorHAnsi"/>
        </w:rPr>
        <w:t>AJPES za opravljene storitve iz prejšnjega člena zaračuna naslednja nadomestila:</w:t>
      </w:r>
    </w:p>
    <w:tbl>
      <w:tblPr>
        <w:tblW w:w="104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2916"/>
        <w:gridCol w:w="69"/>
        <w:gridCol w:w="336"/>
        <w:gridCol w:w="1859"/>
        <w:gridCol w:w="390"/>
        <w:gridCol w:w="336"/>
        <w:gridCol w:w="146"/>
        <w:gridCol w:w="1764"/>
        <w:gridCol w:w="37"/>
        <w:gridCol w:w="1862"/>
      </w:tblGrid>
      <w:tr w:rsidR="00492DFC" w:rsidTr="00492DFC">
        <w:trPr>
          <w:trHeight w:val="570"/>
        </w:trPr>
        <w:tc>
          <w:tcPr>
            <w:tcW w:w="7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92DFC" w:rsidRDefault="00492DFC">
            <w:pPr>
              <w:spacing w:before="120"/>
              <w:jc w:val="center"/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Zap</w:t>
            </w:r>
            <w:proofErr w:type="spellEnd"/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. št.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92DFC" w:rsidRDefault="00492DFC">
            <w:pPr>
              <w:spacing w:before="120"/>
              <w:jc w:val="center"/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Storitve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92DFC" w:rsidRDefault="00492DFC">
            <w:pPr>
              <w:spacing w:before="120"/>
              <w:jc w:val="center"/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Osnova za obračun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92DFC" w:rsidRDefault="00492DFC">
            <w:pPr>
              <w:spacing w:before="120"/>
              <w:jc w:val="center"/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Nadomestilo v EUR</w:t>
            </w: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br/>
              <w:t xml:space="preserve"> brez DDV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:rsidR="00492DFC" w:rsidRDefault="00492DFC">
            <w:pPr>
              <w:spacing w:before="120"/>
              <w:jc w:val="center"/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 xml:space="preserve">Rok obračuna oziroma plačila </w:t>
            </w:r>
          </w:p>
        </w:tc>
      </w:tr>
      <w:tr w:rsidR="00492DFC" w:rsidTr="00492DFC">
        <w:trPr>
          <w:trHeight w:val="402"/>
        </w:trPr>
        <w:tc>
          <w:tcPr>
            <w:tcW w:w="754" w:type="dxa"/>
            <w:vAlign w:val="center"/>
            <w:hideMark/>
          </w:tcPr>
          <w:p w:rsidR="00492DFC" w:rsidRDefault="00492DFC">
            <w:pPr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9712" w:type="dxa"/>
            <w:gridSpan w:val="10"/>
            <w:vAlign w:val="center"/>
            <w:hideMark/>
          </w:tcPr>
          <w:p w:rsidR="00492DFC" w:rsidRDefault="00492DFC">
            <w:pPr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JAVNA OBJAVA LETNIH POROČIL NA SPLETNEM PORTALU</w:t>
            </w:r>
          </w:p>
        </w:tc>
      </w:tr>
      <w:tr w:rsidR="00492DFC" w:rsidTr="00492DFC">
        <w:trPr>
          <w:trHeight w:val="402"/>
        </w:trPr>
        <w:tc>
          <w:tcPr>
            <w:tcW w:w="754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1.1</w:t>
            </w:r>
          </w:p>
        </w:tc>
        <w:tc>
          <w:tcPr>
            <w:tcW w:w="2985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Javna objava letnega poročila gospodarske družbe in zadruge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letno poročilo, predloženo na poenotenih obrazcih na elektronski način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36,15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opravljeni storitvi</w:t>
            </w: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224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910" w:type="dxa"/>
            <w:gridSpan w:val="2"/>
            <w:noWrap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89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 xml:space="preserve">letno poročilo, predloženo v neenotni obliki na elektronski način 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55,74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opravljeni storitvi</w:t>
            </w: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224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910" w:type="dxa"/>
            <w:gridSpan w:val="2"/>
            <w:noWrap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89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1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c)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revidirano letno poročilo, predloženo na elektronski način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c)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85,16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opravljeni storitvi</w:t>
            </w: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30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224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910" w:type="dxa"/>
            <w:gridSpan w:val="2"/>
            <w:noWrap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89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1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d)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predloženo konsolidirano letno poročilo na elektronski način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d)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85,16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opravljeni storitvi</w:t>
            </w: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16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2249" w:type="dxa"/>
            <w:gridSpan w:val="2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910" w:type="dxa"/>
            <w:gridSpan w:val="2"/>
            <w:noWrap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899" w:type="dxa"/>
            <w:gridSpan w:val="2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754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1.2</w:t>
            </w:r>
          </w:p>
        </w:tc>
        <w:tc>
          <w:tcPr>
            <w:tcW w:w="2985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Javna objava letnega poročila samostojnega podjetnika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letno poročilo, predloženo na poenotenih obrazcih na elektronski način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9,84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opravljeni storitvi</w:t>
            </w: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224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910" w:type="dxa"/>
            <w:gridSpan w:val="2"/>
            <w:noWrap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89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 xml:space="preserve">letno poročilo, predloženo v neenotni obliki na elektronski način 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55,74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opravljeni storitvi</w:t>
            </w: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224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910" w:type="dxa"/>
            <w:gridSpan w:val="2"/>
            <w:noWrap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89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120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600"/>
        </w:trPr>
        <w:tc>
          <w:tcPr>
            <w:tcW w:w="754" w:type="dxa"/>
            <w:vAlign w:val="center"/>
            <w:hideMark/>
          </w:tcPr>
          <w:p w:rsidR="00492DFC" w:rsidRDefault="00492DFC">
            <w:pPr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2.</w:t>
            </w:r>
          </w:p>
        </w:tc>
        <w:tc>
          <w:tcPr>
            <w:tcW w:w="9712" w:type="dxa"/>
            <w:gridSpan w:val="10"/>
            <w:vAlign w:val="center"/>
          </w:tcPr>
          <w:p w:rsidR="00492DFC" w:rsidRDefault="00492DFC">
            <w:pPr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</w:p>
          <w:p w:rsidR="00492DFC" w:rsidRDefault="00492DFC">
            <w:pPr>
              <w:rPr>
                <w:rFonts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sl-SI"/>
              </w:rPr>
              <w:t>KOPIJA OZIROMA IZPIS LETNIH POROČIL, JAVNO OBJAVLJENIH NA SPLETNEM PORTALU</w:t>
            </w:r>
          </w:p>
        </w:tc>
      </w:tr>
      <w:tr w:rsidR="00492DFC" w:rsidTr="00492DFC">
        <w:trPr>
          <w:trHeight w:val="402"/>
        </w:trPr>
        <w:tc>
          <w:tcPr>
            <w:tcW w:w="754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2.1</w:t>
            </w:r>
          </w:p>
        </w:tc>
        <w:tc>
          <w:tcPr>
            <w:tcW w:w="2985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Kopija oziroma izpis letnega poročila gospodarske družbe, zadruge ali samostojnega podjetnika</w:t>
            </w: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2249" w:type="dxa"/>
            <w:gridSpan w:val="2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8,63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izdelavi</w:t>
            </w: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754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2.2</w:t>
            </w:r>
          </w:p>
        </w:tc>
        <w:tc>
          <w:tcPr>
            <w:tcW w:w="2985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Izpis posameznih podatkov iz letnih poročil gospodarskih družb, zadrug ali samostojnih podjetnikov</w:t>
            </w:r>
            <w:r>
              <w:rPr>
                <w:rFonts w:cstheme="minorHAnsi"/>
                <w:sz w:val="22"/>
                <w:szCs w:val="22"/>
                <w:lang w:val="sl-SI"/>
              </w:rPr>
              <w:br/>
              <w:t>(zaračuna se a) in b))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zahtevek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6,38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izdelavi</w:t>
            </w:r>
          </w:p>
        </w:tc>
      </w:tr>
      <w:tr w:rsidR="00492DFC" w:rsidTr="00492DFC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vsak posamezni podatek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0,12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izdelavi</w:t>
            </w:r>
          </w:p>
        </w:tc>
      </w:tr>
      <w:tr w:rsidR="00492DFC" w:rsidTr="00492DFC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754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2.3</w:t>
            </w:r>
          </w:p>
        </w:tc>
        <w:tc>
          <w:tcPr>
            <w:tcW w:w="2985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Priprava datotek javno objavljenih letnih poročil gospodarskih družb, zadrug ali samostojnih podjetnikov na elektronskem mediju</w:t>
            </w:r>
            <w:r>
              <w:rPr>
                <w:rFonts w:cstheme="minorHAnsi"/>
                <w:sz w:val="22"/>
                <w:szCs w:val="22"/>
                <w:lang w:val="sl-SI"/>
              </w:rPr>
              <w:br/>
              <w:t>(zaračuna se a) in b)) «.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224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zahtevek in zagonski stroški</w:t>
            </w:r>
          </w:p>
        </w:tc>
        <w:tc>
          <w:tcPr>
            <w:tcW w:w="336" w:type="dxa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a)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31,05</w:t>
            </w:r>
          </w:p>
        </w:tc>
        <w:tc>
          <w:tcPr>
            <w:tcW w:w="1899" w:type="dxa"/>
            <w:gridSpan w:val="2"/>
            <w:vMerge w:val="restart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izdelavi</w:t>
            </w:r>
          </w:p>
        </w:tc>
      </w:tr>
      <w:tr w:rsidR="00492DFC" w:rsidTr="00492DFC">
        <w:trPr>
          <w:trHeight w:val="195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46" w:type="dxa"/>
            <w:noWrap/>
          </w:tcPr>
          <w:p w:rsidR="00492DFC" w:rsidRDefault="00492DFC">
            <w:pPr>
              <w:jc w:val="right"/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1764" w:type="dxa"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</w:tr>
      <w:tr w:rsidR="00492DFC" w:rsidTr="00492DFC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</w:p>
        </w:tc>
        <w:tc>
          <w:tcPr>
            <w:tcW w:w="336" w:type="dxa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2249" w:type="dxa"/>
            <w:gridSpan w:val="2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posamezno letno poročilo</w:t>
            </w:r>
          </w:p>
        </w:tc>
        <w:tc>
          <w:tcPr>
            <w:tcW w:w="336" w:type="dxa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b)</w:t>
            </w:r>
          </w:p>
        </w:tc>
        <w:tc>
          <w:tcPr>
            <w:tcW w:w="1910" w:type="dxa"/>
            <w:gridSpan w:val="2"/>
            <w:noWrap/>
            <w:hideMark/>
          </w:tcPr>
          <w:p w:rsidR="00492DFC" w:rsidRDefault="00492DFC">
            <w:pPr>
              <w:jc w:val="center"/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5,75</w:t>
            </w:r>
          </w:p>
        </w:tc>
        <w:tc>
          <w:tcPr>
            <w:tcW w:w="1899" w:type="dxa"/>
            <w:gridSpan w:val="2"/>
            <w:hideMark/>
          </w:tcPr>
          <w:p w:rsidR="00492DFC" w:rsidRDefault="00492DFC">
            <w:pPr>
              <w:rPr>
                <w:rFonts w:cstheme="minorHAnsi"/>
                <w:sz w:val="22"/>
                <w:szCs w:val="22"/>
                <w:lang w:val="sl-SI"/>
              </w:rPr>
            </w:pPr>
            <w:r>
              <w:rPr>
                <w:rFonts w:cstheme="minorHAnsi"/>
                <w:sz w:val="22"/>
                <w:szCs w:val="22"/>
                <w:lang w:val="sl-SI"/>
              </w:rPr>
              <w:t>po izdelavi</w:t>
            </w:r>
          </w:p>
        </w:tc>
      </w:tr>
    </w:tbl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  <w:r>
        <w:rPr>
          <w:rFonts w:eastAsia="Times New Roman" w:cstheme="minorHAnsi"/>
          <w:b/>
          <w:sz w:val="22"/>
          <w:szCs w:val="22"/>
          <w:lang w:val="sl-SI"/>
        </w:rPr>
        <w:lastRenderedPageBreak/>
        <w:t>3. člen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3. člen Tarife se spremeni tako, da se glasi:</w:t>
      </w: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»Gospodarske družbe, zadruge in samostojni podjetniki plačajo AJPES nadomestila za javno objavo letnih poročil na spletnem portalu (</w:t>
      </w:r>
      <w:proofErr w:type="spellStart"/>
      <w:r>
        <w:rPr>
          <w:rFonts w:eastAsia="Times New Roman" w:cstheme="minorHAnsi"/>
          <w:sz w:val="22"/>
          <w:szCs w:val="22"/>
          <w:lang w:val="sl-SI"/>
        </w:rPr>
        <w:t>zap</w:t>
      </w:r>
      <w:proofErr w:type="spellEnd"/>
      <w:r>
        <w:rPr>
          <w:rFonts w:eastAsia="Times New Roman" w:cstheme="minorHAnsi"/>
          <w:sz w:val="22"/>
          <w:szCs w:val="22"/>
          <w:lang w:val="sl-SI"/>
        </w:rPr>
        <w:t>. št. 1. iz 2. člena tarife) po opravljeni storitvi. Višina nadomestila je odvisna od vrste letnega poročila.</w:t>
      </w: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Način plačila nadomestil objavi AJPES na spletnem portalu.«</w:t>
      </w:r>
    </w:p>
    <w:p w:rsid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A433F8" w:rsidRPr="00A433F8" w:rsidRDefault="00A433F8" w:rsidP="00A433F8">
      <w:pPr>
        <w:overflowPunct w:val="0"/>
        <w:autoSpaceDE w:val="0"/>
        <w:autoSpaceDN w:val="0"/>
        <w:adjustRightInd w:val="0"/>
        <w:ind w:left="3227" w:firstLine="1021"/>
        <w:rPr>
          <w:rFonts w:eastAsia="Times New Roman" w:cstheme="minorHAnsi"/>
          <w:b/>
          <w:sz w:val="22"/>
          <w:szCs w:val="22"/>
          <w:lang w:val="sl-SI"/>
        </w:rPr>
      </w:pPr>
      <w:r w:rsidRPr="00A433F8">
        <w:rPr>
          <w:rFonts w:eastAsia="Times New Roman" w:cstheme="minorHAnsi"/>
          <w:b/>
          <w:sz w:val="22"/>
          <w:szCs w:val="22"/>
          <w:lang w:val="sl-SI"/>
        </w:rPr>
        <w:t>4. člen</w:t>
      </w:r>
    </w:p>
    <w:p w:rsid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4. člen Tarife se spremeni tako, da se glasi:</w:t>
      </w:r>
    </w:p>
    <w:p w:rsid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A433F8" w:rsidRP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  <w:r w:rsidRPr="00A433F8">
        <w:rPr>
          <w:rFonts w:eastAsia="Times New Roman" w:cstheme="minorHAnsi"/>
          <w:sz w:val="22"/>
          <w:szCs w:val="22"/>
          <w:lang w:val="sl-SI"/>
        </w:rPr>
        <w:t>»</w:t>
      </w:r>
      <w:r w:rsidRPr="00A433F8">
        <w:rPr>
          <w:rFonts w:eastAsia="Times New Roman" w:cstheme="minorHAnsi"/>
          <w:color w:val="000000"/>
          <w:sz w:val="22"/>
          <w:szCs w:val="22"/>
          <w:lang w:val="sl-SI"/>
        </w:rPr>
        <w:t>Nadomestila za javno objavo letnega poročila ne plačajo osebne gospodarske družbe in samostojni podjetniki, ustanovljeni v zadnjem poslovnem letu, ki še niso začeli poslovati in v predloženem letnem poročilu ne izkazujejo nobenega podatka.</w:t>
      </w:r>
      <w:bookmarkStart w:id="0" w:name="_GoBack"/>
      <w:bookmarkEnd w:id="0"/>
      <w:r w:rsidRPr="00A433F8">
        <w:rPr>
          <w:rFonts w:eastAsia="Times New Roman" w:cstheme="minorHAnsi"/>
          <w:color w:val="000000"/>
          <w:sz w:val="22"/>
          <w:szCs w:val="22"/>
          <w:lang w:val="sl-SI"/>
        </w:rPr>
        <w:t>«</w:t>
      </w:r>
    </w:p>
    <w:p w:rsidR="00492DFC" w:rsidRDefault="00492DFC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A433F8" w:rsidRDefault="00A433F8" w:rsidP="00492DFC">
      <w:pPr>
        <w:overflowPunct w:val="0"/>
        <w:autoSpaceDE w:val="0"/>
        <w:autoSpaceDN w:val="0"/>
        <w:adjustRightInd w:val="0"/>
        <w:ind w:firstLine="1021"/>
        <w:jc w:val="both"/>
        <w:rPr>
          <w:rFonts w:eastAsia="Times New Roman" w:cstheme="minorHAnsi"/>
          <w:sz w:val="22"/>
          <w:szCs w:val="22"/>
          <w:lang w:val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  <w:r>
        <w:rPr>
          <w:rFonts w:eastAsia="Times New Roman" w:cstheme="minorHAnsi"/>
          <w:b/>
          <w:sz w:val="22"/>
          <w:szCs w:val="22"/>
          <w:lang w:val="sl-SI"/>
        </w:rPr>
        <w:t xml:space="preserve">KONČNA DOLOČBA 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</w:p>
    <w:p w:rsidR="00492DFC" w:rsidRDefault="00A433F8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  <w:r>
        <w:rPr>
          <w:rFonts w:eastAsia="Times New Roman" w:cstheme="minorHAnsi"/>
          <w:b/>
          <w:sz w:val="22"/>
          <w:szCs w:val="22"/>
          <w:lang w:val="sl-SI"/>
        </w:rPr>
        <w:t>5</w:t>
      </w:r>
      <w:r w:rsidR="00492DFC">
        <w:rPr>
          <w:rFonts w:eastAsia="Times New Roman" w:cstheme="minorHAnsi"/>
          <w:b/>
          <w:sz w:val="22"/>
          <w:szCs w:val="22"/>
          <w:lang w:val="sl-SI"/>
        </w:rPr>
        <w:t>. člen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sz w:val="22"/>
          <w:szCs w:val="22"/>
          <w:lang w:val="sl-SI"/>
        </w:rPr>
        <w:t>Ta dopolnitev in spremembi začnejo veljati petnajsti dan po objavi v Uradnem listu Republike Slovenije.</w:t>
      </w:r>
    </w:p>
    <w:p w:rsidR="00492DFC" w:rsidRDefault="00492DFC" w:rsidP="00492DFC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theme="minorHAnsi"/>
          <w:b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snapToGrid w:val="0"/>
        <w:jc w:val="both"/>
        <w:rPr>
          <w:rFonts w:eastAsia="Times New Roman" w:cstheme="minorHAnsi"/>
          <w:color w:val="000000"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snapToGrid w:val="0"/>
        <w:spacing w:before="480"/>
        <w:jc w:val="both"/>
        <w:rPr>
          <w:rFonts w:eastAsia="Times New Roman" w:cstheme="minorHAnsi"/>
          <w:color w:val="000000"/>
          <w:sz w:val="22"/>
          <w:szCs w:val="22"/>
          <w:lang w:val="sl-SI"/>
        </w:rPr>
      </w:pPr>
      <w:r>
        <w:rPr>
          <w:rFonts w:eastAsia="Times New Roman" w:cstheme="minorHAnsi"/>
          <w:color w:val="000000"/>
          <w:sz w:val="22"/>
          <w:szCs w:val="22"/>
          <w:lang w:val="sl-SI"/>
        </w:rPr>
        <w:t>Št. 007-</w:t>
      </w:r>
    </w:p>
    <w:p w:rsidR="00492DFC" w:rsidRDefault="00492DFC" w:rsidP="00492DFC">
      <w:pPr>
        <w:overflowPunct w:val="0"/>
        <w:autoSpaceDE w:val="0"/>
        <w:autoSpaceDN w:val="0"/>
        <w:adjustRightInd w:val="0"/>
        <w:snapToGrid w:val="0"/>
        <w:jc w:val="both"/>
        <w:rPr>
          <w:rFonts w:eastAsia="Times New Roman" w:cstheme="minorHAnsi"/>
          <w:color w:val="000000"/>
          <w:sz w:val="22"/>
          <w:szCs w:val="22"/>
          <w:lang w:val="sl-SI"/>
        </w:rPr>
      </w:pPr>
      <w:r>
        <w:rPr>
          <w:rFonts w:eastAsia="Times New Roman" w:cstheme="minorHAnsi"/>
          <w:color w:val="000000"/>
          <w:sz w:val="22"/>
          <w:szCs w:val="22"/>
          <w:lang w:val="sl-SI"/>
        </w:rPr>
        <w:t xml:space="preserve">Ljubljana, dne </w:t>
      </w:r>
    </w:p>
    <w:p w:rsidR="00492DFC" w:rsidRDefault="00492DFC" w:rsidP="00492DFC">
      <w:pPr>
        <w:overflowPunct w:val="0"/>
        <w:autoSpaceDE w:val="0"/>
        <w:autoSpaceDN w:val="0"/>
        <w:adjustRightInd w:val="0"/>
        <w:snapToGrid w:val="0"/>
        <w:jc w:val="both"/>
        <w:rPr>
          <w:rFonts w:eastAsia="Times New Roman" w:cstheme="minorHAnsi"/>
          <w:color w:val="000000"/>
          <w:sz w:val="22"/>
          <w:szCs w:val="22"/>
          <w:lang w:val="sl-SI"/>
        </w:rPr>
      </w:pPr>
      <w:r>
        <w:rPr>
          <w:rFonts w:eastAsia="Times New Roman" w:cstheme="minorHAnsi"/>
          <w:color w:val="000000"/>
          <w:sz w:val="22"/>
          <w:szCs w:val="22"/>
          <w:lang w:val="sl-SI"/>
        </w:rPr>
        <w:t xml:space="preserve">EVA </w:t>
      </w:r>
    </w:p>
    <w:p w:rsidR="00492DFC" w:rsidRDefault="00492DFC" w:rsidP="00492DFC">
      <w:pPr>
        <w:overflowPunct w:val="0"/>
        <w:autoSpaceDE w:val="0"/>
        <w:autoSpaceDN w:val="0"/>
        <w:adjustRightInd w:val="0"/>
        <w:snapToGrid w:val="0"/>
        <w:jc w:val="both"/>
        <w:rPr>
          <w:rFonts w:eastAsia="Times New Roman" w:cstheme="minorHAnsi"/>
          <w:color w:val="000000"/>
          <w:sz w:val="22"/>
          <w:szCs w:val="22"/>
          <w:lang w:val="sl-SI"/>
        </w:rPr>
      </w:pPr>
    </w:p>
    <w:p w:rsidR="00492DFC" w:rsidRDefault="00492DFC" w:rsidP="00492DFC">
      <w:pPr>
        <w:overflowPunct w:val="0"/>
        <w:autoSpaceDE w:val="0"/>
        <w:autoSpaceDN w:val="0"/>
        <w:adjustRightInd w:val="0"/>
        <w:ind w:left="5670"/>
        <w:jc w:val="center"/>
        <w:rPr>
          <w:rFonts w:eastAsia="Times New Roman" w:cstheme="minorHAnsi"/>
          <w:sz w:val="22"/>
          <w:szCs w:val="22"/>
          <w:lang w:val="sl-SI"/>
        </w:rPr>
      </w:pPr>
      <w:r>
        <w:rPr>
          <w:rFonts w:eastAsia="Times New Roman" w:cstheme="minorHAnsi"/>
          <w:b/>
          <w:sz w:val="22"/>
          <w:szCs w:val="22"/>
          <w:lang w:val="sl-SI"/>
        </w:rPr>
        <w:t xml:space="preserve">mag. Vesna Zupančič Klarič </w:t>
      </w:r>
      <w:r>
        <w:rPr>
          <w:rFonts w:eastAsia="Times New Roman" w:cstheme="minorHAnsi"/>
          <w:sz w:val="22"/>
          <w:szCs w:val="22"/>
          <w:lang w:val="sl-SI"/>
        </w:rPr>
        <w:t xml:space="preserve"> </w:t>
      </w:r>
    </w:p>
    <w:p w:rsidR="00492DFC" w:rsidRDefault="00492DFC" w:rsidP="00492DFC">
      <w:pPr>
        <w:spacing w:after="160" w:line="256" w:lineRule="auto"/>
        <w:rPr>
          <w:rFonts w:eastAsia="Calibri" w:cstheme="minorHAnsi"/>
          <w:sz w:val="22"/>
          <w:szCs w:val="22"/>
          <w:lang w:val="sl-SI" w:eastAsia="en-US"/>
        </w:rPr>
      </w:pPr>
      <w:r>
        <w:rPr>
          <w:rFonts w:eastAsia="Times New Roman" w:cstheme="minorHAnsi"/>
          <w:sz w:val="22"/>
          <w:szCs w:val="22"/>
          <w:lang w:val="sl-SI"/>
        </w:rPr>
        <w:tab/>
      </w:r>
      <w:r>
        <w:rPr>
          <w:rFonts w:eastAsia="Times New Roman" w:cstheme="minorHAnsi"/>
          <w:sz w:val="22"/>
          <w:szCs w:val="22"/>
          <w:lang w:val="sl-SI"/>
        </w:rPr>
        <w:tab/>
      </w:r>
      <w:r>
        <w:rPr>
          <w:rFonts w:eastAsia="Times New Roman" w:cstheme="minorHAnsi"/>
          <w:sz w:val="22"/>
          <w:szCs w:val="22"/>
          <w:lang w:val="sl-SI"/>
        </w:rPr>
        <w:tab/>
      </w:r>
      <w:r>
        <w:rPr>
          <w:rFonts w:eastAsia="Times New Roman" w:cstheme="minorHAnsi"/>
          <w:sz w:val="22"/>
          <w:szCs w:val="22"/>
          <w:lang w:val="sl-SI"/>
        </w:rPr>
        <w:tab/>
      </w:r>
      <w:r>
        <w:rPr>
          <w:rFonts w:eastAsia="Times New Roman" w:cstheme="minorHAnsi"/>
          <w:sz w:val="22"/>
          <w:szCs w:val="22"/>
          <w:lang w:val="sl-SI"/>
        </w:rPr>
        <w:tab/>
      </w:r>
      <w:r>
        <w:rPr>
          <w:rFonts w:eastAsia="Times New Roman" w:cstheme="minorHAnsi"/>
          <w:sz w:val="22"/>
          <w:szCs w:val="22"/>
          <w:lang w:val="sl-SI"/>
        </w:rPr>
        <w:tab/>
      </w:r>
      <w:r>
        <w:rPr>
          <w:rFonts w:eastAsia="Times New Roman" w:cstheme="minorHAnsi"/>
          <w:sz w:val="22"/>
          <w:szCs w:val="22"/>
          <w:lang w:val="sl-SI"/>
        </w:rPr>
        <w:tab/>
      </w:r>
      <w:r>
        <w:rPr>
          <w:rFonts w:eastAsia="Times New Roman" w:cstheme="minorHAnsi"/>
          <w:sz w:val="22"/>
          <w:szCs w:val="22"/>
          <w:lang w:val="sl-SI"/>
        </w:rPr>
        <w:tab/>
        <w:t xml:space="preserve">    </w:t>
      </w:r>
      <w:r>
        <w:rPr>
          <w:rFonts w:eastAsia="Times New Roman" w:cstheme="minorHAnsi"/>
          <w:sz w:val="22"/>
          <w:szCs w:val="22"/>
          <w:lang w:val="sl-SI"/>
        </w:rPr>
        <w:tab/>
        <w:t xml:space="preserve"> predsednica Sveta AJPES</w:t>
      </w:r>
    </w:p>
    <w:p w:rsidR="00492DFC" w:rsidRDefault="00492DFC" w:rsidP="00492DFC">
      <w:pPr>
        <w:pStyle w:val="Odstavekseznama"/>
        <w:autoSpaceDE w:val="0"/>
        <w:autoSpaceDN w:val="0"/>
        <w:adjustRightInd w:val="0"/>
        <w:spacing w:line="260" w:lineRule="atLeast"/>
        <w:ind w:left="0"/>
        <w:textAlignment w:val="center"/>
        <w:rPr>
          <w:rFonts w:ascii="Calibri" w:hAnsi="Calibri" w:cs="Calibri"/>
          <w:b/>
          <w:color w:val="000000"/>
          <w:sz w:val="22"/>
          <w:szCs w:val="22"/>
          <w:lang w:val="sl-SI"/>
        </w:rPr>
      </w:pPr>
    </w:p>
    <w:p w:rsidR="00492DFC" w:rsidRDefault="00492DFC" w:rsidP="00492DFC">
      <w:pPr>
        <w:pStyle w:val="Odstavekseznama"/>
        <w:autoSpaceDE w:val="0"/>
        <w:autoSpaceDN w:val="0"/>
        <w:adjustRightInd w:val="0"/>
        <w:spacing w:line="260" w:lineRule="atLeast"/>
        <w:textAlignment w:val="center"/>
        <w:rPr>
          <w:rFonts w:ascii="Calibri" w:hAnsi="Calibri" w:cs="Calibri"/>
          <w:b/>
          <w:color w:val="000000"/>
          <w:sz w:val="22"/>
          <w:szCs w:val="22"/>
          <w:lang w:val="sl-SI"/>
        </w:rPr>
      </w:pPr>
    </w:p>
    <w:p w:rsidR="00211C64" w:rsidRDefault="007F3997"/>
    <w:sectPr w:rsidR="00211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C"/>
    <w:rsid w:val="00006104"/>
    <w:rsid w:val="004548CD"/>
    <w:rsid w:val="00492DFC"/>
    <w:rsid w:val="007F3997"/>
    <w:rsid w:val="00A433F8"/>
    <w:rsid w:val="00F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6D67"/>
  <w15:chartTrackingRefBased/>
  <w15:docId w15:val="{4CB3CF81-253F-4ED6-B2C3-F412956C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92DFC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2DFC"/>
    <w:pPr>
      <w:ind w:left="720"/>
      <w:contextualSpacing/>
    </w:pPr>
  </w:style>
  <w:style w:type="character" w:customStyle="1" w:styleId="OdstavekZnak">
    <w:name w:val="Odstavek Znak"/>
    <w:link w:val="Odstavek"/>
    <w:locked/>
    <w:rsid w:val="00492DFC"/>
    <w:rPr>
      <w:rFonts w:ascii="Arial" w:eastAsia="Times New Roman" w:hAnsi="Arial" w:cs="Arial"/>
      <w:lang w:eastAsia="sl-SI"/>
    </w:rPr>
  </w:style>
  <w:style w:type="paragraph" w:customStyle="1" w:styleId="Odstavek">
    <w:name w:val="Odstavek"/>
    <w:basedOn w:val="Navaden"/>
    <w:link w:val="OdstavekZnak"/>
    <w:qFormat/>
    <w:rsid w:val="00492DFC"/>
    <w:pPr>
      <w:overflowPunct w:val="0"/>
      <w:autoSpaceDE w:val="0"/>
      <w:autoSpaceDN w:val="0"/>
      <w:adjustRightInd w:val="0"/>
      <w:spacing w:before="240"/>
      <w:ind w:firstLine="1021"/>
      <w:jc w:val="both"/>
    </w:pPr>
    <w:rPr>
      <w:rFonts w:ascii="Arial" w:eastAsia="Times New Roman" w:hAnsi="Arial" w:cs="Arial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Močnik</dc:creator>
  <cp:keywords/>
  <dc:description/>
  <cp:lastModifiedBy>Špela Jerič</cp:lastModifiedBy>
  <cp:revision>3</cp:revision>
  <dcterms:created xsi:type="dcterms:W3CDTF">2023-08-28T05:34:00Z</dcterms:created>
  <dcterms:modified xsi:type="dcterms:W3CDTF">2023-08-28T05:40:00Z</dcterms:modified>
</cp:coreProperties>
</file>